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432"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thinThickSmallGap" w:sz="24" w:space="0" w:color="auto"/>
        </w:tblBorders>
        <w:tblLook w:val="01E0" w:firstRow="1" w:lastRow="1" w:firstColumn="1" w:lastColumn="1" w:noHBand="0" w:noVBand="0"/>
      </w:tblPr>
      <w:tblGrid>
        <w:gridCol w:w="4140"/>
        <w:gridCol w:w="6120"/>
      </w:tblGrid>
      <w:tr w:rsidR="00CA5440" w:rsidRPr="00CA5440" w14:paraId="219D8E72" w14:textId="77777777" w:rsidTr="007336D7">
        <w:trPr>
          <w:trHeight w:val="817"/>
        </w:trPr>
        <w:tc>
          <w:tcPr>
            <w:tcW w:w="10260" w:type="dxa"/>
            <w:gridSpan w:val="2"/>
            <w:shd w:val="clear" w:color="auto" w:fill="auto"/>
          </w:tcPr>
          <w:p w14:paraId="3563A371" w14:textId="77777777" w:rsidR="00CA5440" w:rsidRPr="00CA5440" w:rsidRDefault="00CA5440" w:rsidP="00CA5440">
            <w:pPr>
              <w:tabs>
                <w:tab w:val="left" w:pos="3832"/>
              </w:tabs>
              <w:spacing w:after="0" w:line="240" w:lineRule="auto"/>
              <w:jc w:val="center"/>
              <w:rPr>
                <w:rFonts w:ascii="Times New Roman" w:eastAsia="Times New Roman" w:hAnsi="Times New Roman" w:cs="Times New Roman"/>
                <w:b/>
                <w:sz w:val="24"/>
                <w:szCs w:val="24"/>
                <w:lang w:eastAsia="hr-HR"/>
              </w:rPr>
            </w:pPr>
            <w:r w:rsidRPr="00CA5440">
              <w:rPr>
                <w:rFonts w:ascii="Times New Roman" w:eastAsia="Times New Roman" w:hAnsi="Times New Roman" w:cs="Times New Roman"/>
                <w:b/>
                <w:sz w:val="24"/>
                <w:szCs w:val="24"/>
                <w:lang w:eastAsia="hr-HR"/>
              </w:rPr>
              <w:t>OBRAZAC</w:t>
            </w:r>
          </w:p>
          <w:p w14:paraId="4A81ED02" w14:textId="77777777" w:rsidR="00CA5440" w:rsidRPr="00CA5440" w:rsidRDefault="00CA5440" w:rsidP="00CA5440">
            <w:pPr>
              <w:spacing w:after="0" w:line="240" w:lineRule="auto"/>
              <w:jc w:val="center"/>
              <w:rPr>
                <w:rFonts w:ascii="Times New Roman" w:eastAsia="Times New Roman" w:hAnsi="Times New Roman" w:cs="Times New Roman"/>
                <w:b/>
                <w:sz w:val="24"/>
                <w:szCs w:val="24"/>
                <w:lang w:eastAsia="hr-HR"/>
              </w:rPr>
            </w:pPr>
            <w:r w:rsidRPr="00CA5440">
              <w:rPr>
                <w:rFonts w:ascii="Times New Roman" w:eastAsia="Times New Roman" w:hAnsi="Times New Roman" w:cs="Times New Roman"/>
                <w:b/>
                <w:sz w:val="24"/>
                <w:szCs w:val="24"/>
                <w:lang w:eastAsia="hr-HR"/>
              </w:rPr>
              <w:t>izvješća o provedenom savjetovanju s javnošću</w:t>
            </w:r>
          </w:p>
          <w:p w14:paraId="756E4016" w14:textId="77777777" w:rsidR="00CA5440" w:rsidRPr="00CA5440" w:rsidRDefault="00CA5440" w:rsidP="00CA5440">
            <w:pPr>
              <w:spacing w:after="0" w:line="240" w:lineRule="auto"/>
              <w:rPr>
                <w:rFonts w:ascii="Times New Roman" w:eastAsia="Times New Roman" w:hAnsi="Times New Roman" w:cs="Times New Roman"/>
                <w:sz w:val="24"/>
                <w:szCs w:val="24"/>
                <w:lang w:eastAsia="hr-HR"/>
              </w:rPr>
            </w:pPr>
          </w:p>
        </w:tc>
      </w:tr>
      <w:tr w:rsidR="002203F2" w:rsidRPr="002203F2" w14:paraId="0EC16ECB" w14:textId="77777777" w:rsidTr="007336D7">
        <w:trPr>
          <w:trHeight w:val="500"/>
        </w:trPr>
        <w:tc>
          <w:tcPr>
            <w:tcW w:w="4140" w:type="dxa"/>
            <w:tcBorders>
              <w:right w:val="single" w:sz="4" w:space="0" w:color="auto"/>
            </w:tcBorders>
            <w:shd w:val="clear" w:color="auto" w:fill="auto"/>
            <w:vAlign w:val="center"/>
          </w:tcPr>
          <w:p w14:paraId="346E6808" w14:textId="77777777" w:rsidR="00CA5440" w:rsidRPr="002203F2" w:rsidRDefault="00CA5440" w:rsidP="00CA5440">
            <w:pPr>
              <w:spacing w:after="0" w:line="240" w:lineRule="auto"/>
              <w:rPr>
                <w:rFonts w:ascii="Times New Roman" w:eastAsia="Times New Roman" w:hAnsi="Times New Roman" w:cs="Times New Roman"/>
                <w:b/>
                <w:sz w:val="24"/>
                <w:szCs w:val="24"/>
                <w:lang w:eastAsia="hr-HR"/>
              </w:rPr>
            </w:pPr>
            <w:r w:rsidRPr="002203F2">
              <w:rPr>
                <w:rFonts w:ascii="Times New Roman" w:eastAsia="Times New Roman" w:hAnsi="Times New Roman" w:cs="Times New Roman"/>
                <w:b/>
                <w:sz w:val="24"/>
                <w:szCs w:val="24"/>
                <w:lang w:eastAsia="hr-HR"/>
              </w:rPr>
              <w:t xml:space="preserve">Naziv nacrta odluke ili drugog općeg akta o kojem je savjetovanje provedeno </w:t>
            </w:r>
          </w:p>
        </w:tc>
        <w:tc>
          <w:tcPr>
            <w:tcW w:w="6120" w:type="dxa"/>
            <w:tcBorders>
              <w:left w:val="single" w:sz="4" w:space="0" w:color="auto"/>
            </w:tcBorders>
            <w:shd w:val="clear" w:color="auto" w:fill="auto"/>
            <w:vAlign w:val="center"/>
          </w:tcPr>
          <w:p w14:paraId="02CF852B" w14:textId="77777777" w:rsidR="00291A40" w:rsidRDefault="00291A40" w:rsidP="005F5D97">
            <w:pPr>
              <w:autoSpaceDE w:val="0"/>
              <w:autoSpaceDN w:val="0"/>
              <w:adjustRightInd w:val="0"/>
              <w:rPr>
                <w:rFonts w:ascii="Times New Roman" w:hAnsi="Times New Roman" w:cs="Times New Roman"/>
                <w:b/>
                <w:color w:val="161616"/>
                <w:sz w:val="24"/>
                <w:szCs w:val="23"/>
                <w:shd w:val="clear" w:color="auto" w:fill="FFFFFF"/>
              </w:rPr>
            </w:pPr>
          </w:p>
          <w:p w14:paraId="0A99D2BA" w14:textId="62D250DC" w:rsidR="00F966FD" w:rsidRPr="00A123CB" w:rsidRDefault="00A123CB" w:rsidP="005F5D97">
            <w:pPr>
              <w:autoSpaceDE w:val="0"/>
              <w:autoSpaceDN w:val="0"/>
              <w:adjustRightInd w:val="0"/>
              <w:rPr>
                <w:rFonts w:ascii="Times New Roman" w:hAnsi="Times New Roman" w:cs="Times New Roman"/>
                <w:b/>
                <w:bCs/>
                <w:sz w:val="24"/>
              </w:rPr>
            </w:pPr>
            <w:r w:rsidRPr="0019654A">
              <w:rPr>
                <w:rFonts w:ascii="Times New Roman" w:hAnsi="Times New Roman" w:cs="Times New Roman"/>
                <w:b/>
                <w:color w:val="161616"/>
                <w:sz w:val="24"/>
                <w:szCs w:val="23"/>
                <w:shd w:val="clear" w:color="auto" w:fill="FFFFFF"/>
              </w:rPr>
              <w:t xml:space="preserve">Nacrt </w:t>
            </w:r>
            <w:r w:rsidRPr="008D277F">
              <w:rPr>
                <w:rFonts w:ascii="Times New Roman" w:hAnsi="Times New Roman" w:cs="Times New Roman"/>
                <w:b/>
                <w:color w:val="161616"/>
                <w:sz w:val="24"/>
                <w:szCs w:val="23"/>
                <w:shd w:val="clear" w:color="auto" w:fill="FFFFFF"/>
              </w:rPr>
              <w:t xml:space="preserve">prijedloga Odluke o Stipendiji Grada Zagreba za učenike i studente </w:t>
            </w:r>
            <w:r w:rsidR="001A1A3E" w:rsidRPr="008D277F">
              <w:rPr>
                <w:rFonts w:ascii="Times New Roman" w:hAnsi="Times New Roman" w:cs="Times New Roman"/>
                <w:b/>
                <w:color w:val="161616"/>
                <w:sz w:val="24"/>
                <w:szCs w:val="23"/>
                <w:shd w:val="clear" w:color="auto" w:fill="FFFFFF"/>
              </w:rPr>
              <w:t>na temelju</w:t>
            </w:r>
            <w:r w:rsidR="001A1A3E">
              <w:rPr>
                <w:rFonts w:ascii="Times New Roman" w:hAnsi="Times New Roman" w:cs="Times New Roman"/>
                <w:b/>
                <w:color w:val="161616"/>
                <w:sz w:val="24"/>
                <w:szCs w:val="23"/>
                <w:shd w:val="clear" w:color="auto" w:fill="FFFFFF"/>
              </w:rPr>
              <w:t xml:space="preserve"> socioekonomskog statusa</w:t>
            </w:r>
          </w:p>
          <w:p w14:paraId="4A35D88D" w14:textId="77777777" w:rsidR="00CA5440" w:rsidRPr="002203F2" w:rsidRDefault="00CA5440" w:rsidP="00DB0AB5">
            <w:pPr>
              <w:shd w:val="clear" w:color="auto" w:fill="FFFFFF"/>
              <w:spacing w:after="0" w:line="240" w:lineRule="auto"/>
              <w:jc w:val="center"/>
              <w:rPr>
                <w:rFonts w:ascii="Times New Roman" w:eastAsia="Times New Roman" w:hAnsi="Times New Roman" w:cs="Times New Roman"/>
                <w:b/>
                <w:sz w:val="24"/>
                <w:szCs w:val="24"/>
                <w:lang w:eastAsia="hr-HR"/>
              </w:rPr>
            </w:pPr>
          </w:p>
        </w:tc>
      </w:tr>
      <w:tr w:rsidR="002203F2" w:rsidRPr="002203F2" w14:paraId="1C0B1F5C" w14:textId="77777777" w:rsidTr="007336D7">
        <w:trPr>
          <w:trHeight w:val="932"/>
        </w:trPr>
        <w:tc>
          <w:tcPr>
            <w:tcW w:w="4140" w:type="dxa"/>
            <w:tcBorders>
              <w:right w:val="single" w:sz="4" w:space="0" w:color="auto"/>
            </w:tcBorders>
            <w:shd w:val="clear" w:color="auto" w:fill="auto"/>
            <w:vAlign w:val="center"/>
          </w:tcPr>
          <w:p w14:paraId="2DC425DB" w14:textId="77777777" w:rsidR="00CA5440" w:rsidRPr="002203F2" w:rsidRDefault="00CA5440" w:rsidP="00CA5440">
            <w:pPr>
              <w:spacing w:after="0" w:line="240" w:lineRule="auto"/>
              <w:rPr>
                <w:rFonts w:ascii="Times New Roman" w:eastAsia="Times New Roman" w:hAnsi="Times New Roman" w:cs="Times New Roman"/>
                <w:b/>
                <w:sz w:val="24"/>
                <w:szCs w:val="24"/>
                <w:lang w:eastAsia="hr-HR"/>
              </w:rPr>
            </w:pPr>
            <w:r w:rsidRPr="002203F2">
              <w:rPr>
                <w:rFonts w:ascii="Times New Roman" w:eastAsia="Times New Roman" w:hAnsi="Times New Roman" w:cs="Times New Roman"/>
                <w:b/>
                <w:sz w:val="24"/>
                <w:szCs w:val="24"/>
                <w:lang w:eastAsia="hr-HR"/>
              </w:rPr>
              <w:t>Nositelj izrade nacrta akta (gradsko upravno tijelo koje je provelo savjetovanje)</w:t>
            </w:r>
          </w:p>
        </w:tc>
        <w:tc>
          <w:tcPr>
            <w:tcW w:w="6120" w:type="dxa"/>
            <w:tcBorders>
              <w:left w:val="single" w:sz="4" w:space="0" w:color="auto"/>
            </w:tcBorders>
            <w:shd w:val="clear" w:color="auto" w:fill="auto"/>
            <w:vAlign w:val="center"/>
          </w:tcPr>
          <w:p w14:paraId="58ED20AB" w14:textId="2700A89A" w:rsidR="00CA5440" w:rsidRPr="002203F2" w:rsidRDefault="00CA5440" w:rsidP="0019654A">
            <w:pPr>
              <w:spacing w:after="0" w:line="240" w:lineRule="auto"/>
              <w:jc w:val="both"/>
              <w:rPr>
                <w:rFonts w:ascii="Times New Roman" w:eastAsia="Times New Roman" w:hAnsi="Times New Roman" w:cs="Times New Roman"/>
                <w:b/>
                <w:sz w:val="24"/>
                <w:szCs w:val="24"/>
                <w:lang w:eastAsia="hr-HR"/>
              </w:rPr>
            </w:pPr>
            <w:r w:rsidRPr="002203F2">
              <w:rPr>
                <w:rFonts w:ascii="Times New Roman" w:eastAsia="Times New Roman" w:hAnsi="Times New Roman" w:cs="Times New Roman"/>
                <w:b/>
                <w:sz w:val="24"/>
                <w:szCs w:val="24"/>
                <w:lang w:eastAsia="hr-HR"/>
              </w:rPr>
              <w:t xml:space="preserve">Gradski ured za </w:t>
            </w:r>
            <w:r w:rsidR="0019654A">
              <w:rPr>
                <w:rFonts w:ascii="Times New Roman" w:eastAsia="Times New Roman" w:hAnsi="Times New Roman" w:cs="Times New Roman"/>
                <w:b/>
                <w:sz w:val="24"/>
                <w:szCs w:val="24"/>
                <w:lang w:eastAsia="hr-HR"/>
              </w:rPr>
              <w:t>obrazovanje, sport i mlade</w:t>
            </w:r>
          </w:p>
        </w:tc>
      </w:tr>
      <w:tr w:rsidR="002203F2" w:rsidRPr="002203F2" w14:paraId="69E57C14" w14:textId="77777777" w:rsidTr="007336D7">
        <w:trPr>
          <w:trHeight w:val="561"/>
        </w:trPr>
        <w:tc>
          <w:tcPr>
            <w:tcW w:w="4140" w:type="dxa"/>
            <w:tcBorders>
              <w:right w:val="single" w:sz="4" w:space="0" w:color="auto"/>
            </w:tcBorders>
            <w:shd w:val="clear" w:color="auto" w:fill="auto"/>
            <w:vAlign w:val="center"/>
          </w:tcPr>
          <w:p w14:paraId="71BEBABA" w14:textId="77777777" w:rsidR="00CA5440" w:rsidRPr="002203F2" w:rsidRDefault="00CA5440" w:rsidP="00CA5440">
            <w:pPr>
              <w:spacing w:after="0" w:line="240" w:lineRule="auto"/>
              <w:jc w:val="both"/>
              <w:rPr>
                <w:rFonts w:ascii="Times New Roman" w:eastAsia="Times New Roman" w:hAnsi="Times New Roman" w:cs="Times New Roman"/>
                <w:b/>
                <w:sz w:val="24"/>
                <w:szCs w:val="24"/>
                <w:lang w:eastAsia="hr-HR"/>
              </w:rPr>
            </w:pPr>
            <w:r w:rsidRPr="002203F2">
              <w:rPr>
                <w:rFonts w:ascii="Times New Roman" w:eastAsia="Times New Roman" w:hAnsi="Times New Roman" w:cs="Times New Roman"/>
                <w:b/>
                <w:sz w:val="24"/>
                <w:szCs w:val="24"/>
                <w:lang w:eastAsia="hr-HR"/>
              </w:rPr>
              <w:t>Vrijeme trajanja savjetovanja</w:t>
            </w:r>
          </w:p>
        </w:tc>
        <w:tc>
          <w:tcPr>
            <w:tcW w:w="6120" w:type="dxa"/>
            <w:tcBorders>
              <w:left w:val="single" w:sz="4" w:space="0" w:color="auto"/>
            </w:tcBorders>
            <w:shd w:val="clear" w:color="auto" w:fill="auto"/>
            <w:vAlign w:val="center"/>
          </w:tcPr>
          <w:p w14:paraId="3D0E5527" w14:textId="6C442BC6" w:rsidR="00CA5440" w:rsidRPr="002203F2" w:rsidRDefault="0019654A" w:rsidP="0019654A">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21</w:t>
            </w:r>
            <w:r w:rsidR="002E25BB">
              <w:rPr>
                <w:rFonts w:ascii="Times New Roman" w:eastAsia="Times New Roman" w:hAnsi="Times New Roman" w:cs="Times New Roman"/>
                <w:b/>
                <w:sz w:val="24"/>
                <w:szCs w:val="24"/>
                <w:lang w:eastAsia="hr-HR"/>
              </w:rPr>
              <w:t>.</w:t>
            </w:r>
            <w:r w:rsidR="006772BA">
              <w:rPr>
                <w:rFonts w:ascii="Times New Roman" w:eastAsia="Times New Roman" w:hAnsi="Times New Roman" w:cs="Times New Roman"/>
                <w:b/>
                <w:sz w:val="24"/>
                <w:szCs w:val="24"/>
                <w:lang w:eastAsia="hr-HR"/>
              </w:rPr>
              <w:t xml:space="preserve"> </w:t>
            </w:r>
            <w:r w:rsidR="003A0582" w:rsidRPr="002203F2">
              <w:rPr>
                <w:rFonts w:ascii="Times New Roman" w:eastAsia="Times New Roman" w:hAnsi="Times New Roman" w:cs="Times New Roman"/>
                <w:b/>
                <w:sz w:val="24"/>
                <w:szCs w:val="24"/>
                <w:lang w:eastAsia="hr-HR"/>
              </w:rPr>
              <w:t>srpnja</w:t>
            </w:r>
            <w:r w:rsidR="00AD1B6A" w:rsidRPr="002203F2">
              <w:rPr>
                <w:rFonts w:ascii="Times New Roman" w:eastAsia="Times New Roman" w:hAnsi="Times New Roman" w:cs="Times New Roman"/>
                <w:b/>
                <w:sz w:val="24"/>
                <w:szCs w:val="24"/>
                <w:lang w:eastAsia="hr-HR"/>
              </w:rPr>
              <w:t xml:space="preserve"> 202</w:t>
            </w:r>
            <w:r>
              <w:rPr>
                <w:rFonts w:ascii="Times New Roman" w:eastAsia="Times New Roman" w:hAnsi="Times New Roman" w:cs="Times New Roman"/>
                <w:b/>
                <w:sz w:val="24"/>
                <w:szCs w:val="24"/>
                <w:lang w:eastAsia="hr-HR"/>
              </w:rPr>
              <w:t>6</w:t>
            </w:r>
            <w:r w:rsidR="0001245D" w:rsidRPr="002203F2">
              <w:rPr>
                <w:rFonts w:ascii="Times New Roman" w:eastAsia="Times New Roman" w:hAnsi="Times New Roman" w:cs="Times New Roman"/>
                <w:b/>
                <w:sz w:val="24"/>
                <w:szCs w:val="24"/>
                <w:lang w:eastAsia="hr-HR"/>
              </w:rPr>
              <w:t>. do</w:t>
            </w:r>
            <w:r w:rsidR="004F70EC" w:rsidRPr="002203F2">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20</w:t>
            </w:r>
            <w:r w:rsidR="00F966FD" w:rsidRPr="002203F2">
              <w:rPr>
                <w:rFonts w:ascii="Times New Roman" w:eastAsia="Times New Roman" w:hAnsi="Times New Roman" w:cs="Times New Roman"/>
                <w:b/>
                <w:sz w:val="24"/>
                <w:szCs w:val="24"/>
                <w:lang w:eastAsia="hr-HR"/>
              </w:rPr>
              <w:t xml:space="preserve">. </w:t>
            </w:r>
            <w:r w:rsidR="003A0582" w:rsidRPr="002203F2">
              <w:rPr>
                <w:rFonts w:ascii="Times New Roman" w:eastAsia="Times New Roman" w:hAnsi="Times New Roman" w:cs="Times New Roman"/>
                <w:b/>
                <w:sz w:val="24"/>
                <w:szCs w:val="24"/>
                <w:lang w:eastAsia="hr-HR"/>
              </w:rPr>
              <w:t>kolovoza</w:t>
            </w:r>
            <w:r w:rsidR="00AD1B6A" w:rsidRPr="002203F2">
              <w:rPr>
                <w:rFonts w:ascii="Times New Roman" w:eastAsia="Times New Roman" w:hAnsi="Times New Roman" w:cs="Times New Roman"/>
                <w:b/>
                <w:sz w:val="24"/>
                <w:szCs w:val="24"/>
                <w:lang w:eastAsia="hr-HR"/>
              </w:rPr>
              <w:t xml:space="preserve"> 202</w:t>
            </w:r>
            <w:r>
              <w:rPr>
                <w:rFonts w:ascii="Times New Roman" w:eastAsia="Times New Roman" w:hAnsi="Times New Roman" w:cs="Times New Roman"/>
                <w:b/>
                <w:sz w:val="24"/>
                <w:szCs w:val="24"/>
                <w:lang w:eastAsia="hr-HR"/>
              </w:rPr>
              <w:t>6</w:t>
            </w:r>
            <w:r w:rsidR="004F70EC" w:rsidRPr="002203F2">
              <w:rPr>
                <w:rFonts w:ascii="Times New Roman" w:eastAsia="Times New Roman" w:hAnsi="Times New Roman" w:cs="Times New Roman"/>
                <w:b/>
                <w:sz w:val="24"/>
                <w:szCs w:val="24"/>
                <w:lang w:eastAsia="hr-HR"/>
              </w:rPr>
              <w:t>.</w:t>
            </w:r>
          </w:p>
        </w:tc>
      </w:tr>
      <w:tr w:rsidR="002203F2" w:rsidRPr="002203F2" w14:paraId="13F0CC98" w14:textId="77777777" w:rsidTr="007336D7">
        <w:trPr>
          <w:trHeight w:val="561"/>
        </w:trPr>
        <w:tc>
          <w:tcPr>
            <w:tcW w:w="4140" w:type="dxa"/>
            <w:tcBorders>
              <w:right w:val="single" w:sz="4" w:space="0" w:color="auto"/>
            </w:tcBorders>
            <w:shd w:val="clear" w:color="auto" w:fill="auto"/>
            <w:vAlign w:val="center"/>
          </w:tcPr>
          <w:p w14:paraId="23D5ECF9" w14:textId="77777777" w:rsidR="00CA5440" w:rsidRPr="002203F2" w:rsidRDefault="00CA5440" w:rsidP="00CA5440">
            <w:pPr>
              <w:spacing w:after="0" w:line="240" w:lineRule="auto"/>
              <w:jc w:val="both"/>
              <w:rPr>
                <w:rFonts w:ascii="Times New Roman" w:eastAsia="Times New Roman" w:hAnsi="Times New Roman" w:cs="Times New Roman"/>
                <w:b/>
                <w:sz w:val="24"/>
                <w:szCs w:val="24"/>
                <w:lang w:eastAsia="hr-HR"/>
              </w:rPr>
            </w:pPr>
            <w:r w:rsidRPr="002203F2">
              <w:rPr>
                <w:rFonts w:ascii="Times New Roman" w:eastAsia="Times New Roman" w:hAnsi="Times New Roman" w:cs="Times New Roman"/>
                <w:b/>
                <w:sz w:val="24"/>
                <w:szCs w:val="24"/>
                <w:lang w:eastAsia="hr-HR"/>
              </w:rPr>
              <w:t xml:space="preserve">Metoda savjetovanja </w:t>
            </w:r>
          </w:p>
        </w:tc>
        <w:tc>
          <w:tcPr>
            <w:tcW w:w="6120" w:type="dxa"/>
            <w:tcBorders>
              <w:left w:val="single" w:sz="4" w:space="0" w:color="auto"/>
            </w:tcBorders>
            <w:shd w:val="clear" w:color="auto" w:fill="auto"/>
            <w:vAlign w:val="center"/>
          </w:tcPr>
          <w:p w14:paraId="60F0E0E6" w14:textId="77777777" w:rsidR="00CA5440" w:rsidRPr="002203F2" w:rsidRDefault="00CA5440" w:rsidP="00CA5440">
            <w:pPr>
              <w:spacing w:after="0" w:line="240" w:lineRule="auto"/>
              <w:jc w:val="both"/>
              <w:rPr>
                <w:rFonts w:ascii="Times New Roman" w:eastAsia="Times New Roman" w:hAnsi="Times New Roman" w:cs="Times New Roman"/>
                <w:b/>
                <w:sz w:val="24"/>
                <w:szCs w:val="24"/>
                <w:lang w:eastAsia="hr-HR"/>
              </w:rPr>
            </w:pPr>
            <w:r w:rsidRPr="002203F2">
              <w:rPr>
                <w:rFonts w:ascii="Times New Roman" w:eastAsia="Times New Roman" w:hAnsi="Times New Roman" w:cs="Times New Roman"/>
                <w:b/>
                <w:sz w:val="24"/>
                <w:szCs w:val="24"/>
                <w:lang w:eastAsia="hr-HR"/>
              </w:rPr>
              <w:t>Internetsko savjetovanje</w:t>
            </w:r>
          </w:p>
        </w:tc>
      </w:tr>
    </w:tbl>
    <w:p w14:paraId="6C479E67" w14:textId="267CCEDA" w:rsidR="00291A40" w:rsidRDefault="00291A40" w:rsidP="00F617F1">
      <w:pPr>
        <w:rPr>
          <w:rFonts w:ascii="Times New Roman" w:hAnsi="Times New Roman"/>
          <w:sz w:val="24"/>
          <w:szCs w:val="24"/>
        </w:rPr>
      </w:pPr>
    </w:p>
    <w:p w14:paraId="7072A1EC" w14:textId="1E17F27B" w:rsidR="00291A40" w:rsidRPr="00876220" w:rsidRDefault="00291A40" w:rsidP="00291A40">
      <w:pPr>
        <w:jc w:val="both"/>
        <w:rPr>
          <w:rFonts w:ascii="Times New Roman" w:hAnsi="Times New Roman" w:cs="Times New Roman"/>
          <w:b/>
          <w:sz w:val="28"/>
          <w:szCs w:val="24"/>
        </w:rPr>
      </w:pPr>
      <w:r w:rsidRPr="00876220">
        <w:rPr>
          <w:rStyle w:val="normaltextrun"/>
          <w:rFonts w:ascii="Times New Roman" w:hAnsi="Times New Roman" w:cs="Times New Roman"/>
          <w:iCs/>
          <w:color w:val="000000"/>
          <w:sz w:val="24"/>
          <w:shd w:val="clear" w:color="auto" w:fill="FFFFFF"/>
        </w:rPr>
        <w:t xml:space="preserve">Za vrijeme trajanja internetskog savjetovanja o Nacrtu prijedloga odluke o Stipendiji Grada Zagreba za učenike i studente </w:t>
      </w:r>
      <w:r w:rsidR="00F617F1" w:rsidRPr="00876220">
        <w:rPr>
          <w:rStyle w:val="normaltextrun"/>
          <w:rFonts w:ascii="Times New Roman" w:hAnsi="Times New Roman" w:cs="Times New Roman"/>
          <w:iCs/>
          <w:color w:val="000000"/>
          <w:sz w:val="24"/>
          <w:shd w:val="clear" w:color="auto" w:fill="FFFFFF"/>
        </w:rPr>
        <w:t>na temelju socioekonomskog statusa</w:t>
      </w:r>
      <w:r w:rsidRPr="00876220">
        <w:rPr>
          <w:rStyle w:val="normaltextrun"/>
          <w:rFonts w:ascii="Times New Roman" w:hAnsi="Times New Roman" w:cs="Times New Roman"/>
          <w:iCs/>
          <w:color w:val="000000"/>
          <w:sz w:val="24"/>
          <w:shd w:val="clear" w:color="auto" w:fill="FFFFFF"/>
        </w:rPr>
        <w:t> bilo je iznesenih primjedbi i prijedloga</w:t>
      </w:r>
      <w:r w:rsidR="00F617F1" w:rsidRPr="00876220">
        <w:rPr>
          <w:rStyle w:val="normaltextrun"/>
          <w:rFonts w:ascii="Times New Roman" w:hAnsi="Times New Roman" w:cs="Times New Roman"/>
          <w:iCs/>
          <w:color w:val="000000"/>
          <w:sz w:val="24"/>
          <w:shd w:val="clear" w:color="auto" w:fill="FFFFFF"/>
        </w:rPr>
        <w:t>.</w:t>
      </w:r>
    </w:p>
    <w:tbl>
      <w:tblPr>
        <w:tblW w:w="11018" w:type="dxa"/>
        <w:tblInd w:w="-85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1E0" w:firstRow="1" w:lastRow="1" w:firstColumn="1" w:lastColumn="1" w:noHBand="0" w:noVBand="0"/>
      </w:tblPr>
      <w:tblGrid>
        <w:gridCol w:w="851"/>
        <w:gridCol w:w="1843"/>
        <w:gridCol w:w="1350"/>
        <w:gridCol w:w="4394"/>
        <w:gridCol w:w="2580"/>
      </w:tblGrid>
      <w:tr w:rsidR="00003038" w:rsidRPr="00003038" w14:paraId="1ACBE932" w14:textId="77777777" w:rsidTr="00DE2B31">
        <w:tc>
          <w:tcPr>
            <w:tcW w:w="851" w:type="dxa"/>
            <w:shd w:val="clear" w:color="auto" w:fill="auto"/>
            <w:vAlign w:val="center"/>
          </w:tcPr>
          <w:p w14:paraId="7A49341E" w14:textId="77777777" w:rsidR="00003038" w:rsidRPr="002A7023" w:rsidRDefault="00003038" w:rsidP="00003038">
            <w:pPr>
              <w:widowControl w:val="0"/>
              <w:suppressAutoHyphens/>
              <w:spacing w:after="0" w:line="240" w:lineRule="auto"/>
              <w:jc w:val="center"/>
              <w:rPr>
                <w:rFonts w:ascii="Times New Roman" w:eastAsia="Times New Roman" w:hAnsi="Times New Roman" w:cs="Times New Roman"/>
                <w:b/>
                <w:lang w:eastAsia="hr-HR"/>
              </w:rPr>
            </w:pPr>
            <w:r w:rsidRPr="002A7023">
              <w:rPr>
                <w:rFonts w:ascii="Times New Roman" w:eastAsia="Times New Roman" w:hAnsi="Times New Roman" w:cs="Times New Roman"/>
                <w:b/>
                <w:lang w:eastAsia="hr-HR"/>
              </w:rPr>
              <w:t>Red. br.</w:t>
            </w:r>
          </w:p>
        </w:tc>
        <w:tc>
          <w:tcPr>
            <w:tcW w:w="1843" w:type="dxa"/>
            <w:shd w:val="clear" w:color="auto" w:fill="auto"/>
            <w:vAlign w:val="center"/>
          </w:tcPr>
          <w:p w14:paraId="65614C05" w14:textId="77777777" w:rsidR="00003038" w:rsidRPr="002A7023" w:rsidRDefault="00003038" w:rsidP="00003038">
            <w:pPr>
              <w:widowControl w:val="0"/>
              <w:suppressAutoHyphens/>
              <w:spacing w:after="0" w:line="240" w:lineRule="auto"/>
              <w:rPr>
                <w:rFonts w:ascii="Times New Roman" w:eastAsia="Times New Roman" w:hAnsi="Times New Roman" w:cs="Times New Roman"/>
                <w:b/>
                <w:lang w:eastAsia="hr-HR"/>
              </w:rPr>
            </w:pPr>
            <w:r w:rsidRPr="002A7023">
              <w:rPr>
                <w:rFonts w:ascii="Times New Roman" w:eastAsia="Times New Roman" w:hAnsi="Times New Roman" w:cs="Times New Roman"/>
                <w:b/>
                <w:lang w:eastAsia="hr-HR"/>
              </w:rPr>
              <w:t>Predstavnici  javnosti (pojedinac, organizacija, institucija)</w:t>
            </w:r>
          </w:p>
        </w:tc>
        <w:tc>
          <w:tcPr>
            <w:tcW w:w="1350" w:type="dxa"/>
            <w:shd w:val="clear" w:color="auto" w:fill="auto"/>
            <w:vAlign w:val="center"/>
          </w:tcPr>
          <w:p w14:paraId="60AE5606" w14:textId="77777777" w:rsidR="00003038" w:rsidRPr="002A7023" w:rsidRDefault="00003038" w:rsidP="00003038">
            <w:pPr>
              <w:widowControl w:val="0"/>
              <w:suppressAutoHyphens/>
              <w:spacing w:after="0" w:line="240" w:lineRule="auto"/>
              <w:rPr>
                <w:rFonts w:ascii="Times New Roman" w:eastAsia="Times New Roman" w:hAnsi="Times New Roman" w:cs="Times New Roman"/>
                <w:b/>
                <w:lang w:eastAsia="hr-HR"/>
              </w:rPr>
            </w:pPr>
            <w:r w:rsidRPr="002A7023">
              <w:rPr>
                <w:rFonts w:ascii="Times New Roman" w:eastAsia="Times New Roman" w:hAnsi="Times New Roman" w:cs="Times New Roman"/>
                <w:b/>
                <w:lang w:eastAsia="hr-HR"/>
              </w:rPr>
              <w:t>Članak na koji se odnosi primjedba/</w:t>
            </w:r>
          </w:p>
          <w:p w14:paraId="1B2707D6" w14:textId="77777777" w:rsidR="00003038" w:rsidRPr="002A7023" w:rsidRDefault="00003038" w:rsidP="00003038">
            <w:pPr>
              <w:widowControl w:val="0"/>
              <w:suppressAutoHyphens/>
              <w:spacing w:after="0" w:line="240" w:lineRule="auto"/>
              <w:jc w:val="center"/>
              <w:rPr>
                <w:rFonts w:ascii="Times New Roman" w:eastAsia="Times New Roman" w:hAnsi="Times New Roman" w:cs="Times New Roman"/>
                <w:b/>
                <w:lang w:eastAsia="hr-HR"/>
              </w:rPr>
            </w:pPr>
            <w:r w:rsidRPr="002A7023">
              <w:rPr>
                <w:rFonts w:ascii="Times New Roman" w:eastAsia="Times New Roman" w:hAnsi="Times New Roman" w:cs="Times New Roman"/>
                <w:b/>
                <w:lang w:eastAsia="hr-HR"/>
              </w:rPr>
              <w:t>prijedlog</w:t>
            </w:r>
          </w:p>
        </w:tc>
        <w:tc>
          <w:tcPr>
            <w:tcW w:w="4394" w:type="dxa"/>
            <w:shd w:val="clear" w:color="auto" w:fill="auto"/>
            <w:vAlign w:val="center"/>
          </w:tcPr>
          <w:p w14:paraId="4364668C" w14:textId="77777777" w:rsidR="00003038" w:rsidRPr="002A7023" w:rsidRDefault="00003038" w:rsidP="00003038">
            <w:pPr>
              <w:widowControl w:val="0"/>
              <w:suppressAutoHyphens/>
              <w:spacing w:after="0" w:line="240" w:lineRule="auto"/>
              <w:jc w:val="center"/>
              <w:rPr>
                <w:rFonts w:ascii="Times New Roman" w:eastAsia="Times New Roman" w:hAnsi="Times New Roman" w:cs="Times New Roman"/>
                <w:b/>
                <w:lang w:eastAsia="hr-HR"/>
              </w:rPr>
            </w:pPr>
            <w:r w:rsidRPr="002A7023">
              <w:rPr>
                <w:rFonts w:ascii="Times New Roman" w:eastAsia="Times New Roman" w:hAnsi="Times New Roman" w:cs="Times New Roman"/>
                <w:b/>
                <w:lang w:eastAsia="hr-HR"/>
              </w:rPr>
              <w:t>Tekst primjedbe/</w:t>
            </w:r>
          </w:p>
          <w:p w14:paraId="7DBEDF79" w14:textId="77777777" w:rsidR="00003038" w:rsidRPr="002A7023" w:rsidRDefault="00003038" w:rsidP="00003038">
            <w:pPr>
              <w:widowControl w:val="0"/>
              <w:suppressAutoHyphens/>
              <w:spacing w:after="0" w:line="240" w:lineRule="auto"/>
              <w:jc w:val="center"/>
              <w:rPr>
                <w:rFonts w:ascii="Times New Roman" w:eastAsia="Times New Roman" w:hAnsi="Times New Roman" w:cs="Times New Roman"/>
                <w:b/>
                <w:lang w:eastAsia="hr-HR"/>
              </w:rPr>
            </w:pPr>
            <w:r w:rsidRPr="002A7023">
              <w:rPr>
                <w:rFonts w:ascii="Times New Roman" w:eastAsia="Times New Roman" w:hAnsi="Times New Roman" w:cs="Times New Roman"/>
                <w:b/>
                <w:lang w:eastAsia="hr-HR"/>
              </w:rPr>
              <w:t>prijedloga</w:t>
            </w:r>
          </w:p>
        </w:tc>
        <w:tc>
          <w:tcPr>
            <w:tcW w:w="2580" w:type="dxa"/>
            <w:shd w:val="clear" w:color="auto" w:fill="auto"/>
            <w:vAlign w:val="center"/>
          </w:tcPr>
          <w:p w14:paraId="1E902443" w14:textId="77777777" w:rsidR="00003038" w:rsidRPr="002A7023" w:rsidRDefault="00003038" w:rsidP="00003038">
            <w:pPr>
              <w:widowControl w:val="0"/>
              <w:suppressAutoHyphens/>
              <w:spacing w:after="0" w:line="240" w:lineRule="auto"/>
              <w:jc w:val="center"/>
              <w:rPr>
                <w:rFonts w:ascii="Times New Roman" w:eastAsia="Times New Roman" w:hAnsi="Times New Roman" w:cs="Times New Roman"/>
                <w:b/>
                <w:lang w:eastAsia="hr-HR"/>
              </w:rPr>
            </w:pPr>
            <w:r w:rsidRPr="002A7023">
              <w:rPr>
                <w:rFonts w:ascii="Times New Roman" w:eastAsia="Times New Roman" w:hAnsi="Times New Roman" w:cs="Times New Roman"/>
                <w:b/>
                <w:lang w:eastAsia="hr-HR"/>
              </w:rPr>
              <w:t>Prihvaćanje/ neprihvaćanje primjedbe/ prijedloga sa obrazloženjem</w:t>
            </w:r>
          </w:p>
        </w:tc>
      </w:tr>
      <w:tr w:rsidR="00F617F1" w:rsidRPr="00003038" w14:paraId="70DF7476" w14:textId="77777777" w:rsidTr="00654AAB">
        <w:tc>
          <w:tcPr>
            <w:tcW w:w="851" w:type="dxa"/>
            <w:shd w:val="clear" w:color="auto" w:fill="auto"/>
          </w:tcPr>
          <w:p w14:paraId="1BBDE840" w14:textId="77777777" w:rsidR="00F617F1" w:rsidRPr="00003038" w:rsidRDefault="00F617F1" w:rsidP="00F617F1">
            <w:pPr>
              <w:widowControl w:val="0"/>
              <w:numPr>
                <w:ilvl w:val="0"/>
                <w:numId w:val="3"/>
              </w:numPr>
              <w:suppressAutoHyphens/>
              <w:spacing w:after="0" w:line="240" w:lineRule="auto"/>
              <w:rPr>
                <w:rFonts w:ascii="Times New Roman" w:eastAsia="Times New Roman" w:hAnsi="Times New Roman" w:cs="Times New Roman"/>
                <w:lang w:eastAsia="hr-HR"/>
              </w:rPr>
            </w:pPr>
          </w:p>
        </w:tc>
        <w:tc>
          <w:tcPr>
            <w:tcW w:w="1843" w:type="dxa"/>
            <w:shd w:val="clear" w:color="auto" w:fill="auto"/>
          </w:tcPr>
          <w:p w14:paraId="5F83A4DB" w14:textId="10803A09" w:rsidR="00F617F1" w:rsidRPr="00F617F1" w:rsidRDefault="00F617F1" w:rsidP="00F617F1">
            <w:pPr>
              <w:widowControl w:val="0"/>
              <w:suppressAutoHyphens/>
              <w:spacing w:after="0" w:line="240" w:lineRule="auto"/>
              <w:rPr>
                <w:rFonts w:ascii="Times New Roman" w:eastAsia="Times New Roman" w:hAnsi="Times New Roman" w:cs="Times New Roman"/>
                <w:lang w:eastAsia="hr-HR"/>
              </w:rPr>
            </w:pPr>
            <w:r w:rsidRPr="00F617F1">
              <w:rPr>
                <w:rFonts w:ascii="Times New Roman" w:hAnsi="Times New Roman" w:cs="Times New Roman"/>
              </w:rPr>
              <w:t xml:space="preserve">Željka Pintarić </w:t>
            </w:r>
            <w:proofErr w:type="spellStart"/>
            <w:r w:rsidRPr="00F617F1">
              <w:rPr>
                <w:rFonts w:ascii="Times New Roman" w:hAnsi="Times New Roman" w:cs="Times New Roman"/>
              </w:rPr>
              <w:t>Burmudžija</w:t>
            </w:r>
            <w:proofErr w:type="spellEnd"/>
          </w:p>
        </w:tc>
        <w:tc>
          <w:tcPr>
            <w:tcW w:w="1350" w:type="dxa"/>
            <w:shd w:val="clear" w:color="auto" w:fill="auto"/>
          </w:tcPr>
          <w:p w14:paraId="58585BF2" w14:textId="3A31506D" w:rsidR="00F617F1" w:rsidRPr="00003038" w:rsidRDefault="00F617F1" w:rsidP="00F617F1">
            <w:pPr>
              <w:widowControl w:val="0"/>
              <w:suppressAutoHyphens/>
              <w:spacing w:after="0" w:line="240" w:lineRule="auto"/>
              <w:rPr>
                <w:rFonts w:ascii="Times New Roman" w:eastAsia="Times New Roman" w:hAnsi="Times New Roman" w:cs="Times New Roman"/>
                <w:lang w:eastAsia="hr-HR"/>
              </w:rPr>
            </w:pPr>
            <w:r w:rsidRPr="00003038">
              <w:rPr>
                <w:rFonts w:ascii="Times New Roman" w:eastAsia="Times New Roman" w:hAnsi="Times New Roman" w:cs="Times New Roman"/>
                <w:lang w:eastAsia="hr-HR"/>
              </w:rPr>
              <w:t xml:space="preserve">Čl. </w:t>
            </w:r>
            <w:r>
              <w:rPr>
                <w:rFonts w:ascii="Times New Roman" w:eastAsia="Times New Roman" w:hAnsi="Times New Roman" w:cs="Times New Roman"/>
                <w:lang w:eastAsia="hr-HR"/>
              </w:rPr>
              <w:t>5</w:t>
            </w:r>
            <w:r w:rsidR="00F514F3">
              <w:rPr>
                <w:rFonts w:ascii="Times New Roman" w:eastAsia="Times New Roman" w:hAnsi="Times New Roman" w:cs="Times New Roman"/>
                <w:lang w:eastAsia="hr-HR"/>
              </w:rPr>
              <w:t>.</w:t>
            </w:r>
            <w:r w:rsidRPr="00003038">
              <w:rPr>
                <w:rFonts w:ascii="Times New Roman" w:eastAsia="Times New Roman" w:hAnsi="Times New Roman" w:cs="Times New Roman"/>
                <w:lang w:eastAsia="hr-HR"/>
              </w:rPr>
              <w:t xml:space="preserve"> </w:t>
            </w:r>
          </w:p>
          <w:p w14:paraId="30DA24BC" w14:textId="10E72F08" w:rsidR="00F617F1" w:rsidRDefault="00F617F1" w:rsidP="00F617F1">
            <w:pPr>
              <w:widowControl w:val="0"/>
              <w:suppressAutoHyphens/>
              <w:spacing w:after="0" w:line="240" w:lineRule="auto"/>
              <w:rPr>
                <w:rFonts w:ascii="Times New Roman" w:eastAsia="Times New Roman" w:hAnsi="Times New Roman" w:cs="Times New Roman"/>
                <w:lang w:eastAsia="hr-HR"/>
              </w:rPr>
            </w:pPr>
            <w:r w:rsidRPr="00003038">
              <w:rPr>
                <w:rFonts w:ascii="Times New Roman" w:eastAsia="Times New Roman" w:hAnsi="Times New Roman" w:cs="Times New Roman"/>
                <w:lang w:eastAsia="hr-HR"/>
              </w:rPr>
              <w:t>Čl. 1</w:t>
            </w:r>
            <w:r>
              <w:rPr>
                <w:rFonts w:ascii="Times New Roman" w:eastAsia="Times New Roman" w:hAnsi="Times New Roman" w:cs="Times New Roman"/>
                <w:lang w:eastAsia="hr-HR"/>
              </w:rPr>
              <w:t>1</w:t>
            </w:r>
            <w:r w:rsidR="00F514F3">
              <w:rPr>
                <w:rFonts w:ascii="Times New Roman" w:eastAsia="Times New Roman" w:hAnsi="Times New Roman" w:cs="Times New Roman"/>
                <w:lang w:eastAsia="hr-HR"/>
              </w:rPr>
              <w:t>.</w:t>
            </w:r>
          </w:p>
          <w:p w14:paraId="4028829C" w14:textId="1003F9AF" w:rsidR="00F617F1" w:rsidRDefault="00F617F1" w:rsidP="00F617F1">
            <w:pPr>
              <w:widowControl w:val="0"/>
              <w:suppressAutoHyphens/>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Čl. 12</w:t>
            </w:r>
            <w:r w:rsidR="00F514F3">
              <w:rPr>
                <w:rFonts w:ascii="Times New Roman" w:eastAsia="Times New Roman" w:hAnsi="Times New Roman" w:cs="Times New Roman"/>
                <w:lang w:eastAsia="hr-HR"/>
              </w:rPr>
              <w:t>.</w:t>
            </w:r>
            <w:bookmarkStart w:id="0" w:name="_GoBack"/>
            <w:bookmarkEnd w:id="0"/>
          </w:p>
          <w:p w14:paraId="50CC2C74" w14:textId="263AFDD4" w:rsidR="00F617F1" w:rsidRPr="00003038" w:rsidRDefault="00F617F1" w:rsidP="00F617F1">
            <w:pPr>
              <w:widowControl w:val="0"/>
              <w:suppressAutoHyphens/>
              <w:spacing w:after="0" w:line="240" w:lineRule="auto"/>
              <w:rPr>
                <w:rFonts w:ascii="Times New Roman" w:eastAsia="Times New Roman" w:hAnsi="Times New Roman" w:cs="Times New Roman"/>
                <w:lang w:eastAsia="hr-HR"/>
              </w:rPr>
            </w:pPr>
          </w:p>
        </w:tc>
        <w:tc>
          <w:tcPr>
            <w:tcW w:w="4394" w:type="dxa"/>
            <w:shd w:val="clear" w:color="auto" w:fill="auto"/>
            <w:vAlign w:val="center"/>
          </w:tcPr>
          <w:p w14:paraId="368E031F"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 xml:space="preserve">Podnositeljica primjedbi javlja se kao pojedinačna zainteresirana građanka u smislu članka 11. Zakona o pravu na pristup informacijama – roditelj redovitog učenika srednje škole u Gradu Zagrebu iz </w:t>
            </w:r>
            <w:proofErr w:type="spellStart"/>
            <w:r w:rsidRPr="00F617F1">
              <w:rPr>
                <w:rFonts w:ascii="Times New Roman" w:hAnsi="Times New Roman" w:cs="Times New Roman"/>
              </w:rPr>
              <w:t>jednoroditeljskog</w:t>
            </w:r>
            <w:proofErr w:type="spellEnd"/>
            <w:r w:rsidRPr="00F617F1">
              <w:rPr>
                <w:rFonts w:ascii="Times New Roman" w:hAnsi="Times New Roman" w:cs="Times New Roman"/>
              </w:rPr>
              <w:t xml:space="preserve"> kućanstva, ujedno paušalno oporezivana obrtnica (samostalna djelatnost s paušalnim oporezivanjem od 2013.).</w:t>
            </w:r>
          </w:p>
          <w:p w14:paraId="011A9308"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Iznesene primjedbe, međutim, po svojoj naravi nadilaze pojedinačni interes i odnose se na cijelu kategoriju građana Grada Zagreba čiji se dohodak, prema propisima o porezu na dohodak, ne utvrđuje mjesečno već godišnje:</w:t>
            </w:r>
          </w:p>
          <w:p w14:paraId="73875A6B"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 paušalno oporezovane samostalne djelatnosti (članak 82. Zakona o porezu na dohodak);</w:t>
            </w:r>
          </w:p>
          <w:p w14:paraId="2AA4A3C6"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 obrtnici i osobe u slobodnim zanimanjima koji vode poslovne knjige i dohodak utvrđuju godišnjom poreznom prijavom;</w:t>
            </w:r>
          </w:p>
          <w:p w14:paraId="092BAD56"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lastRenderedPageBreak/>
              <w:t>- nositelji obiteljskih poljoprivrednih gospodarstava u sustavu poreza na dohodak;</w:t>
            </w:r>
          </w:p>
          <w:p w14:paraId="6BA57DE1"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 autori i umjetnici s neredovitim primicima.</w:t>
            </w:r>
          </w:p>
          <w:p w14:paraId="46DAFF13" w14:textId="77777777" w:rsidR="00F617F1" w:rsidRPr="00F617F1" w:rsidRDefault="00F617F1" w:rsidP="00F617F1">
            <w:pPr>
              <w:rPr>
                <w:rFonts w:ascii="Times New Roman" w:hAnsi="Times New Roman" w:cs="Times New Roman"/>
              </w:rPr>
            </w:pPr>
          </w:p>
          <w:p w14:paraId="5A7849C0"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Nacrtom prijedloga Odluke iz važeće Odluke preuzeta je metodologija utvrđivanja socioekonomskog statusa isključivo prema prosječnom mjesečnom prihodu po članu zajedničkog kućanstva ostvarenom u razdoblju od 1. siječnja do 30. lipnja tekuće kalendarske godine (članak 5. stavak 1. točka A alineja 2. i točka B alineja 2. te članak 11. alineja 1.). Ova metodologija strukturno onemogućuje prijavu cijeloj kategoriji poreznih obveznika Grada Zagreba čiji se dohodak, prema propisima o porezu na dohodak, ne utvrđuje mjesečno nego godišnje, retroaktivno, po završetku porezne godine.</w:t>
            </w:r>
          </w:p>
          <w:p w14:paraId="53B24063"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Za sve navedene kategorije poreznih obveznika, Porezna uprava po naravi stvari ne može izdati potvrdu o visini dohotka za razdoblje od 1. siječnja do 30. lipnja tekuće kalendarske godine, jer taj podatak u trenutku prijave na natječaj (rujan/listopad) objektivno ne postoji u službenim evidencijama Porezne uprave. Godišnja porezna prijava, odnosno godišnji obračun paušalnog dohotka, kao jedini akt kojim se utvrđuje dohodak, predaje se i obrađuje tek u sljedećoj kalendarskoj godini.</w:t>
            </w:r>
          </w:p>
          <w:p w14:paraId="785CF68B"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Isto ograničenje odnosi se i na sustav EDIP (Evidencija dohodaka i primitaka) Porezne uprave, na koji se Nacrt izrijekom oslanja u članku 12. i članku 24. – sustav za navedene porezne obveznike ne sadrži podatak o prihodima za nezavršenu poreznu godinu, jer taj podatak jednostavno ne postoji.</w:t>
            </w:r>
          </w:p>
          <w:p w14:paraId="216B37DF"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 xml:space="preserve">Kao rezultat toga, Nacrt u sadašnjoj formulaciji sistemski isključuje iz zaštitne mjere upravo onaj dio građana koji je ta mjera po svom cilju namijenjena zaštititi. Paušalni obrtnici, čiji se godišnji dohodak – prema aktualnom Pravilniku o paušalnom oporezivanju samostalnih djelatnosti – kreće u </w:t>
            </w:r>
            <w:r w:rsidRPr="00F617F1">
              <w:rPr>
                <w:rFonts w:ascii="Times New Roman" w:hAnsi="Times New Roman" w:cs="Times New Roman"/>
              </w:rPr>
              <w:lastRenderedPageBreak/>
              <w:t>rasponu od 1.695,00 eura u prvom razredu do 9.000,00 eura u sedmom razredu, po visini dohotka pripadaju upravo populaciji koju Odluka želi obuhvatiti, a Obrazloženje Nacrta u dijelu koji govori o zaštiti socijalno ugroženih obitelji izrijekom prepoznaje ovu potrebu.</w:t>
            </w:r>
          </w:p>
          <w:p w14:paraId="294B25C7"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 xml:space="preserve">Sistemska priroda problema potvrđena je i dopisom potpisnice ovih primjedbi upućenim Gradskom uredu za obrazovanje, sport i mlade dana 10. lipnja 2026., pod predmetom „upit u vezi dokumentacije za natječaj za dodjelu stipendije grada Zagreba učenicima srednjih škola”, u kojemu je izrijekom postavljeno pitanje na koji način paušalni obrtnik dokazuje mjesečni prihod za propisano razdoblje. U odgovoru Gradskog ureda upućeno je na Izjavu o članovima kućanstva i preuzimanje podataka iz sustava EDIP, no ta uputa suštinski ne rješava problem, jer za </w:t>
            </w:r>
            <w:proofErr w:type="spellStart"/>
            <w:r w:rsidRPr="00F617F1">
              <w:rPr>
                <w:rFonts w:ascii="Times New Roman" w:hAnsi="Times New Roman" w:cs="Times New Roman"/>
              </w:rPr>
              <w:t>paušaliste</w:t>
            </w:r>
            <w:proofErr w:type="spellEnd"/>
            <w:r w:rsidRPr="00F617F1">
              <w:rPr>
                <w:rFonts w:ascii="Times New Roman" w:hAnsi="Times New Roman" w:cs="Times New Roman"/>
              </w:rPr>
              <w:t xml:space="preserve"> u sustavu EDIP-a ne postoji podatak o prihodu za nezavršenu godinu. Nacrt Odluke, objavljen na javnom savjetovanju 21. srpnja 2026., zadržava metodologiju iz važeće Odluke bez rješavanja ovoga signaliziranog nedostatka.</w:t>
            </w:r>
          </w:p>
          <w:p w14:paraId="42F50CDF"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Slijedom navedenoga, potpisnica Gradu Zagrebu predlaže konkretno normativno rješenje koje je funkcionalno istovjetno praksi već primijenjenoj u drugim javnim sustavima potpore obiteljima s djecom, poglavito u sustavu Zaklade „Hrvatska za djecu” pri dodjeli novčane potpore za djecu u sustavu obrazovanja, gdje se za paušalne obrtnike prihvaća kombinacija potvrde Porezne uprave o visini dohotka za prethodnu kalendarsku godinu, potvrde o poreznom statusu i izjave dane pod materijalnom i kaznenom odgovornošću. Praksa je pokazala da ovakav model dokazivanja pouzdano funkcionira, jer se svi dokumenti pribavljaju iz službenih evidencija Porezne uprave.</w:t>
            </w:r>
          </w:p>
          <w:p w14:paraId="4DFBAF16" w14:textId="77777777" w:rsidR="00F617F1" w:rsidRPr="00F617F1" w:rsidRDefault="00F617F1" w:rsidP="00F617F1">
            <w:pPr>
              <w:rPr>
                <w:rFonts w:ascii="Times New Roman" w:hAnsi="Times New Roman" w:cs="Times New Roman"/>
              </w:rPr>
            </w:pPr>
            <w:r w:rsidRPr="00F617F1">
              <w:rPr>
                <w:rFonts w:ascii="Times New Roman" w:hAnsi="Times New Roman" w:cs="Times New Roman"/>
              </w:rPr>
              <w:t xml:space="preserve">Uvažavanjem ovih primjedbi Odluka bi postala interno konzistentna, </w:t>
            </w:r>
            <w:proofErr w:type="spellStart"/>
            <w:r w:rsidRPr="00F617F1">
              <w:rPr>
                <w:rFonts w:ascii="Times New Roman" w:hAnsi="Times New Roman" w:cs="Times New Roman"/>
              </w:rPr>
              <w:t>digitalizacijski</w:t>
            </w:r>
            <w:proofErr w:type="spellEnd"/>
            <w:r w:rsidRPr="00F617F1">
              <w:rPr>
                <w:rFonts w:ascii="Times New Roman" w:hAnsi="Times New Roman" w:cs="Times New Roman"/>
              </w:rPr>
              <w:t xml:space="preserve"> provediva (jer se sva tražena dokumentacija može pribaviti iz EDIP-a i RPO-a, u skladu s deklariranim ciljem iz Obrazloženja), pravno </w:t>
            </w:r>
            <w:r w:rsidRPr="00F617F1">
              <w:rPr>
                <w:rFonts w:ascii="Times New Roman" w:hAnsi="Times New Roman" w:cs="Times New Roman"/>
              </w:rPr>
              <w:lastRenderedPageBreak/>
              <w:t>usklađena s načelom jednakosti pred zakonom (članak 14. Ustava Republike Hrvatske) i suštinski dostupna svim građanima Grada Zagreba u nepovoljnom socioekonomskom položaju, neovisno o pravnom obliku ostvarivanja njihovih prihoda.</w:t>
            </w:r>
          </w:p>
          <w:p w14:paraId="4B78C44B" w14:textId="77777777" w:rsidR="00F617F1" w:rsidRPr="00F617F1" w:rsidRDefault="00F617F1" w:rsidP="00F617F1">
            <w:pPr>
              <w:spacing w:after="120"/>
              <w:rPr>
                <w:rFonts w:ascii="Times New Roman" w:hAnsi="Times New Roman" w:cs="Times New Roman"/>
              </w:rPr>
            </w:pPr>
            <w:r w:rsidRPr="00F617F1">
              <w:rPr>
                <w:rFonts w:ascii="Times New Roman" w:hAnsi="Times New Roman" w:cs="Times New Roman"/>
                <w:b/>
                <w:bCs/>
              </w:rPr>
              <w:t>PRIMJEDBA 1. – na članak 5. Prijedloga Odluke</w:t>
            </w:r>
          </w:p>
          <w:p w14:paraId="730F6143"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b/>
                <w:bCs/>
              </w:rPr>
              <w:t xml:space="preserve">Predmet primjedbe: </w:t>
            </w:r>
            <w:r w:rsidRPr="00F617F1">
              <w:rPr>
                <w:rFonts w:ascii="Times New Roman" w:hAnsi="Times New Roman" w:cs="Times New Roman"/>
              </w:rPr>
              <w:t>nemogućnost dokazivanja prosječnoga mjesečnog prihoda za razdoblje od 1. siječnja do 30. lipnja tekuće kalendarske godine za članove kućanstva koji dohodak utvrđuju godišnje.</w:t>
            </w:r>
          </w:p>
          <w:p w14:paraId="30133663"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b/>
                <w:bCs/>
              </w:rPr>
              <w:t xml:space="preserve">Prijedlog izmjene: </w:t>
            </w:r>
            <w:r w:rsidRPr="00F617F1">
              <w:rPr>
                <w:rFonts w:ascii="Times New Roman" w:hAnsi="Times New Roman" w:cs="Times New Roman"/>
              </w:rPr>
              <w:t>u članku 5., iza stavka koji propisuje formulu za utvrđivanje prosječnoga mjesečnog prihoda po članu zajedničkog kućanstva (predloženi stavak 4.), dodaje se novi stavak koji glasi:</w:t>
            </w:r>
          </w:p>
          <w:p w14:paraId="6C1A2EEE"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i/>
                <w:iCs/>
              </w:rPr>
              <w:t>„Iznimno od odredbi ovoga članka koje uređuju utvrđivanje prosječnoga mjesečnog prihoda po članu zajedničkog kućanstva u razdoblju od 1. siječnja do 30. lipnja tekuće kalendarske godine, za članove kućanstva koji ostvaruju dohodak od samostalne djelatnosti prema propisima o porezu na dohodak, a čiji se dohodak utvrđuje godišnje (paušalno oporezivanje samostalnih djelatnosti, obrti i slobodna zanimanja s vođenjem poslovnih knjiga, nositelji obiteljskih poljoprivrednih gospodarstava u sustavu dohotka i drugi porezni obveznici s godišnjim utvrđivanjem dohotka), prosječni mjesečni prihod utvrđuje se kao jedna dvanaestina godišnjega dohotka i drugih neoporezivih primitaka ostvarenih u prethodnoj kalendarskoj godini, prema potvrdi nadležne Porezne uprave o visini dohotka i primitaka.”</w:t>
            </w:r>
          </w:p>
          <w:p w14:paraId="43875ECA" w14:textId="77777777" w:rsidR="00F617F1" w:rsidRPr="00F617F1" w:rsidRDefault="00F617F1" w:rsidP="00F617F1">
            <w:pPr>
              <w:spacing w:after="240"/>
              <w:jc w:val="both"/>
              <w:rPr>
                <w:rFonts w:ascii="Times New Roman" w:hAnsi="Times New Roman" w:cs="Times New Roman"/>
              </w:rPr>
            </w:pPr>
            <w:r w:rsidRPr="00F617F1">
              <w:rPr>
                <w:rFonts w:ascii="Times New Roman" w:hAnsi="Times New Roman" w:cs="Times New Roman"/>
                <w:b/>
                <w:bCs/>
              </w:rPr>
              <w:t xml:space="preserve">Obrazloženje: </w:t>
            </w:r>
            <w:r w:rsidRPr="00F617F1">
              <w:rPr>
                <w:rFonts w:ascii="Times New Roman" w:hAnsi="Times New Roman" w:cs="Times New Roman"/>
              </w:rPr>
              <w:t xml:space="preserve">predložena norma polazi od činjenice da je za paušalne obrtnike i druge porezne obveznike s godišnjim utvrđivanjem dohotka jedini objektivno dostupan i službeno provjerljiv podatak o prihodu – ukupni godišnji dohodak iz prethodne kalendarske godine, koji je Porezna uprava utvrdila i evidentirala u vlastitim službenim evidencijama. Prevođenje </w:t>
            </w:r>
            <w:r w:rsidRPr="00F617F1">
              <w:rPr>
                <w:rFonts w:ascii="Times New Roman" w:hAnsi="Times New Roman" w:cs="Times New Roman"/>
              </w:rPr>
              <w:lastRenderedPageBreak/>
              <w:t>toga podatka u prosječni mjesečni ekvivalent (jedna dvanaestina) osigurava da će bodovanje po članku 11. Odluke biti utemeljeno na provjerljivom i pouzdanom podatku, uz istodobno očuvanje sustava razreda dohotka predloženog Nacrtom. Ovo rješenje ujedno je usklađeno s deklariranim ciljem iz Obrazloženja Nacrta o digitaliziranom preuzimanju podataka iz službenih evidencija Porezne uprave – podatak o godišnjem dohotku dostupan je u sustavu EDIP.</w:t>
            </w:r>
          </w:p>
          <w:p w14:paraId="3B4C4ED0" w14:textId="77777777" w:rsidR="00F617F1" w:rsidRPr="00F617F1" w:rsidRDefault="00F617F1" w:rsidP="00F617F1">
            <w:pPr>
              <w:spacing w:after="120"/>
              <w:rPr>
                <w:rFonts w:ascii="Times New Roman" w:hAnsi="Times New Roman" w:cs="Times New Roman"/>
              </w:rPr>
            </w:pPr>
            <w:r w:rsidRPr="00F617F1">
              <w:rPr>
                <w:rFonts w:ascii="Times New Roman" w:hAnsi="Times New Roman" w:cs="Times New Roman"/>
                <w:b/>
                <w:bCs/>
              </w:rPr>
              <w:t>PRIMJEDBA 2. – na članak 11. Prijedloga Odluke</w:t>
            </w:r>
          </w:p>
          <w:p w14:paraId="79785CD2"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b/>
                <w:bCs/>
              </w:rPr>
              <w:t xml:space="preserve">Predmet primjedbe: </w:t>
            </w:r>
            <w:r w:rsidRPr="00F617F1">
              <w:rPr>
                <w:rFonts w:ascii="Times New Roman" w:hAnsi="Times New Roman" w:cs="Times New Roman"/>
              </w:rPr>
              <w:t>bodovanje socioekonomskog statusa vezano je isključivo za prosječne mjesečne prihode u razdoblju od 1. siječnja do 30. lipnja tekuće kalendarske godine, bez usklađivanja s izmijenjenom metodologijom iz Primjedbe 1.</w:t>
            </w:r>
          </w:p>
          <w:p w14:paraId="198DEDA3"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b/>
                <w:bCs/>
              </w:rPr>
              <w:t xml:space="preserve">Prijedlog izmjene: </w:t>
            </w:r>
            <w:r w:rsidRPr="00F617F1">
              <w:rPr>
                <w:rFonts w:ascii="Times New Roman" w:hAnsi="Times New Roman" w:cs="Times New Roman"/>
              </w:rPr>
              <w:t>u članku 11. alineji 1., iza tablice razreda dohotka, dodaje se rečenica:</w:t>
            </w:r>
          </w:p>
          <w:p w14:paraId="74E237BD"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i/>
                <w:iCs/>
              </w:rPr>
              <w:t>„Za članove kućanstva iz članka 5. stavka [novi stavak sukladno Primjedbi 1.] ove Odluke, prosječni mjesečni prihod iskazuje se kao jedna dvanaestina godišnjega dohotka i drugih neoporezivih primitaka ostvarenih u prethodnoj kalendarskoj godini, i tako iskazan iznos primjenjuje se u tablici razreda dohotka iz ove alineje.”</w:t>
            </w:r>
          </w:p>
          <w:p w14:paraId="25815056" w14:textId="77777777" w:rsidR="00F617F1" w:rsidRPr="00F617F1" w:rsidRDefault="00F617F1" w:rsidP="00F617F1">
            <w:pPr>
              <w:spacing w:after="240"/>
              <w:jc w:val="both"/>
              <w:rPr>
                <w:rFonts w:ascii="Times New Roman" w:hAnsi="Times New Roman" w:cs="Times New Roman"/>
              </w:rPr>
            </w:pPr>
            <w:r w:rsidRPr="00F617F1">
              <w:rPr>
                <w:rFonts w:ascii="Times New Roman" w:hAnsi="Times New Roman" w:cs="Times New Roman"/>
                <w:b/>
                <w:bCs/>
              </w:rPr>
              <w:t xml:space="preserve">Obrazloženje: </w:t>
            </w:r>
            <w:r w:rsidRPr="00F617F1">
              <w:rPr>
                <w:rFonts w:ascii="Times New Roman" w:hAnsi="Times New Roman" w:cs="Times New Roman"/>
              </w:rPr>
              <w:t>predložena dopuna osigurava normativno usklađivanje bodovnog sustava s izmijenjenom metodologijom utvrđivanja prihoda iz članka 5., čime se dvije odredbe povezuju u konzistentnu cjelinu i izbjegava svako pravno tumačenje po kojemu bi jedna kategorija poreznih obveznika ostala izvan bodovnog sustava.</w:t>
            </w:r>
          </w:p>
          <w:p w14:paraId="6CF3C4B0" w14:textId="77777777" w:rsidR="00F617F1" w:rsidRPr="00F617F1" w:rsidRDefault="00F617F1" w:rsidP="00F617F1">
            <w:pPr>
              <w:spacing w:after="120"/>
              <w:rPr>
                <w:rFonts w:ascii="Times New Roman" w:hAnsi="Times New Roman" w:cs="Times New Roman"/>
              </w:rPr>
            </w:pPr>
            <w:r w:rsidRPr="00F617F1">
              <w:rPr>
                <w:rFonts w:ascii="Times New Roman" w:hAnsi="Times New Roman" w:cs="Times New Roman"/>
                <w:b/>
                <w:bCs/>
              </w:rPr>
              <w:t>PRIMJEDBA 3. – na članak 12. Prijedloga Odluke</w:t>
            </w:r>
          </w:p>
          <w:p w14:paraId="5ECD7EC9"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b/>
                <w:bCs/>
              </w:rPr>
              <w:t xml:space="preserve">Predmet primjedbe: </w:t>
            </w:r>
            <w:r w:rsidRPr="00F617F1">
              <w:rPr>
                <w:rFonts w:ascii="Times New Roman" w:hAnsi="Times New Roman" w:cs="Times New Roman"/>
              </w:rPr>
              <w:t>popis dokumentacije koja se prilaže prijavi na natječaj ne prepoznaje specifičnost članova kućanstva čiji se dohodak utvrđuje godišnje.</w:t>
            </w:r>
          </w:p>
          <w:p w14:paraId="0C85BFC3"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b/>
                <w:bCs/>
              </w:rPr>
              <w:lastRenderedPageBreak/>
              <w:t xml:space="preserve">Prijedlog izmjene: </w:t>
            </w:r>
            <w:r w:rsidRPr="00F617F1">
              <w:rPr>
                <w:rFonts w:ascii="Times New Roman" w:hAnsi="Times New Roman" w:cs="Times New Roman"/>
              </w:rPr>
              <w:t>u članku 12., iza stavka 4. dodaje se novi stavak koji glasi:</w:t>
            </w:r>
          </w:p>
          <w:p w14:paraId="021A4E0C"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i/>
                <w:iCs/>
              </w:rPr>
              <w:t>„Kandidat čiji član zajedničkog kućanstva ostvaruje dohodak od samostalne djelatnosti s godišnjim utvrđivanjem dohotka u smislu članka 5. stavka [novi stavak sukladno Primjedbi 1.] ove Odluke, uz prijavu prilaže:</w:t>
            </w:r>
          </w:p>
          <w:p w14:paraId="4630CA4C"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i/>
                <w:iCs/>
              </w:rPr>
              <w:t>1. potvrdu nadležne Porezne uprave o visini dohotka i primitaka toga člana kućanstva za prethodnu kalendarsku godinu;</w:t>
            </w:r>
          </w:p>
          <w:p w14:paraId="58CD9855"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i/>
                <w:iCs/>
              </w:rPr>
              <w:t>2. potvrdu nadležne Porezne uprave o upisu u Registar poreznih obveznika i o poreznom statusu (paušalno oporezivanje, vođenje poslovnih knjiga, i slično);</w:t>
            </w:r>
          </w:p>
          <w:p w14:paraId="6259D3BD" w14:textId="77777777" w:rsidR="00F617F1" w:rsidRPr="00F617F1" w:rsidRDefault="00F617F1" w:rsidP="00F617F1">
            <w:pPr>
              <w:spacing w:after="120"/>
              <w:jc w:val="both"/>
              <w:rPr>
                <w:rFonts w:ascii="Times New Roman" w:hAnsi="Times New Roman" w:cs="Times New Roman"/>
              </w:rPr>
            </w:pPr>
            <w:r w:rsidRPr="00F617F1">
              <w:rPr>
                <w:rFonts w:ascii="Times New Roman" w:hAnsi="Times New Roman" w:cs="Times New Roman"/>
                <w:i/>
                <w:iCs/>
              </w:rPr>
              <w:t>3. vlastoručno potpisanu izjavu, danu pod materijalnom i kaznenom odgovornošću, u kojoj se navodi da za tekuću kalendarsku godinu godišnji dohodak još nije utvrđen te u kojoj se navodi očekivani razred paušalnog oporezivanja, odnosno okvirna visina očekivanoga godišnjeg dohotka.”</w:t>
            </w:r>
          </w:p>
          <w:p w14:paraId="10DB2A9D" w14:textId="2B1CD1DA" w:rsidR="00F617F1" w:rsidRPr="00F617F1" w:rsidRDefault="00F617F1" w:rsidP="00F617F1">
            <w:pPr>
              <w:widowControl w:val="0"/>
              <w:shd w:val="clear" w:color="auto" w:fill="FFFFFF"/>
              <w:suppressAutoHyphens/>
              <w:spacing w:after="0" w:line="240" w:lineRule="auto"/>
              <w:jc w:val="both"/>
              <w:rPr>
                <w:rFonts w:ascii="Times New Roman" w:eastAsia="Times New Roman" w:hAnsi="Times New Roman" w:cs="Times New Roman"/>
                <w:lang w:eastAsia="hr-HR"/>
              </w:rPr>
            </w:pPr>
            <w:r w:rsidRPr="00F617F1">
              <w:rPr>
                <w:rFonts w:ascii="Times New Roman" w:hAnsi="Times New Roman" w:cs="Times New Roman"/>
                <w:b/>
                <w:bCs/>
              </w:rPr>
              <w:t xml:space="preserve">Obrazloženje: </w:t>
            </w:r>
            <w:r w:rsidRPr="00F617F1">
              <w:rPr>
                <w:rFonts w:ascii="Times New Roman" w:hAnsi="Times New Roman" w:cs="Times New Roman"/>
              </w:rPr>
              <w:t>predložena norma prilagođava dokumentacijski dio postupka činjeničnoj situaciji poreznih obveznika s godišnjim utvrđivanjem dohotka. Kombinacija (i) potvrde Porezne uprave o dohotku za prethodnu kalendarsku godinu, (ii) potvrde o poreznom statusu i (iii) izjave pod materijalnom i kaznenom odgovornošću, funkcionalno je istovjetna dokumentaciji koja je već prihvaćena u sustavu novčanih potpora Zaklade „Hrvatska za djecu”, u okviru Zahtjeva za dodjelu novčane potpore za djecu u sustavu obrazovanja. Praksa Zaklade pokazala je da ovakav model dokazivanja pouzdano funkcionira i ne otvara prostor zlouporabama, jer se svi dokumenti pribavljaju iz službenih evidencija Porezne uprave, a izjava se daje pod materijalnom i kaznenom odgovornošću potpisnice.</w:t>
            </w:r>
          </w:p>
        </w:tc>
        <w:tc>
          <w:tcPr>
            <w:tcW w:w="2580" w:type="dxa"/>
            <w:shd w:val="clear" w:color="auto" w:fill="auto"/>
          </w:tcPr>
          <w:p w14:paraId="63CB597A" w14:textId="77777777" w:rsidR="00732CDD" w:rsidRPr="00732CDD" w:rsidRDefault="00732CDD" w:rsidP="00732CDD">
            <w:pPr>
              <w:shd w:val="clear" w:color="auto" w:fill="FFFFFF"/>
              <w:spacing w:line="240" w:lineRule="auto"/>
              <w:jc w:val="both"/>
              <w:rPr>
                <w:rFonts w:ascii="Times New Roman" w:hAnsi="Times New Roman" w:cs="Times New Roman"/>
                <w:b/>
                <w:bCs/>
                <w:szCs w:val="24"/>
                <w:lang w:eastAsia="hr-HR"/>
              </w:rPr>
            </w:pPr>
            <w:r w:rsidRPr="00732CDD">
              <w:rPr>
                <w:rFonts w:ascii="Times New Roman" w:hAnsi="Times New Roman" w:cs="Times New Roman"/>
                <w:b/>
                <w:bCs/>
                <w:szCs w:val="24"/>
                <w:lang w:eastAsia="hr-HR"/>
              </w:rPr>
              <w:lastRenderedPageBreak/>
              <w:t>Prijedlog se ne prihvaća.</w:t>
            </w:r>
          </w:p>
          <w:p w14:paraId="0B349668" w14:textId="1A580AF0" w:rsidR="00732CDD" w:rsidRPr="00732CDD" w:rsidRDefault="00732CDD" w:rsidP="00732CDD">
            <w:pPr>
              <w:shd w:val="clear" w:color="auto" w:fill="FFFFFF"/>
              <w:spacing w:line="240" w:lineRule="auto"/>
              <w:jc w:val="both"/>
              <w:rPr>
                <w:rFonts w:ascii="Times New Roman" w:hAnsi="Times New Roman" w:cs="Times New Roman"/>
                <w:szCs w:val="24"/>
              </w:rPr>
            </w:pPr>
            <w:r w:rsidRPr="00732CDD">
              <w:rPr>
                <w:rFonts w:ascii="Times New Roman" w:hAnsi="Times New Roman" w:cs="Times New Roman"/>
                <w:szCs w:val="24"/>
                <w:lang w:eastAsia="hr-HR"/>
              </w:rPr>
              <w:t xml:space="preserve">Člankom 11. Prijedloga odluke propisano je da se socioekonomski status učenika i studenta boduje prema prosječnim mjesečnim prihodima po članu zajedničkog kućanstva, ostvarenim u razdoblju od 1. siječnja do 30. lipnja tekuće kalendarske godine, na način da se kandidatu dodjeljuje pripadajući broj bodova prema rasponima ostvarenih mjesečnih prihoda svrstanih u ukupno osam razreda. Propisano je, između ostaloga, da će se kandidatu dodijeliti jedan bod ako prosječni mjesečni prihod iznosi od 393,01 eura do 100 % proračunske osnovice </w:t>
            </w:r>
            <w:r w:rsidRPr="00732CDD">
              <w:rPr>
                <w:rFonts w:ascii="Times New Roman" w:hAnsi="Times New Roman" w:cs="Times New Roman"/>
                <w:szCs w:val="24"/>
                <w:lang w:eastAsia="hr-HR"/>
              </w:rPr>
              <w:lastRenderedPageBreak/>
              <w:t xml:space="preserve">određene Zakonom o izvršavanju državnog proračuna Republike Hrvatske u godini u kojoj se raspisuje natječaj za dodjelu Stipendije, a sukladno članku 39.  Zakona o izvršavanju državnog proračuna Republike Hrvatske za 2026. godinu (Narodne novine 152/25), proračunska osnovica za 2026. godinu iznosi 441,44 </w:t>
            </w:r>
            <w:proofErr w:type="spellStart"/>
            <w:r w:rsidRPr="00732CDD">
              <w:rPr>
                <w:rFonts w:ascii="Times New Roman" w:hAnsi="Times New Roman" w:cs="Times New Roman"/>
                <w:szCs w:val="24"/>
                <w:lang w:eastAsia="hr-HR"/>
              </w:rPr>
              <w:t>eur</w:t>
            </w:r>
            <w:proofErr w:type="spellEnd"/>
            <w:r w:rsidRPr="00732CDD">
              <w:rPr>
                <w:rFonts w:ascii="Times New Roman" w:hAnsi="Times New Roman" w:cs="Times New Roman"/>
                <w:szCs w:val="24"/>
                <w:lang w:eastAsia="hr-HR"/>
              </w:rPr>
              <w:t>. Dakle, za primjenu članka 11. Prijedloga odluke uzimaju se podaci o proračunskoj osnovici utvrđenoj za 2026. godinu. Isto tako</w:t>
            </w:r>
            <w:r>
              <w:rPr>
                <w:rFonts w:ascii="Times New Roman" w:hAnsi="Times New Roman" w:cs="Times New Roman"/>
                <w:szCs w:val="24"/>
                <w:lang w:eastAsia="hr-HR"/>
              </w:rPr>
              <w:t>,</w:t>
            </w:r>
            <w:r w:rsidRPr="00732CDD">
              <w:rPr>
                <w:rFonts w:ascii="Times New Roman" w:hAnsi="Times New Roman" w:cs="Times New Roman"/>
                <w:szCs w:val="24"/>
                <w:lang w:eastAsia="hr-HR"/>
              </w:rPr>
              <w:t xml:space="preserve"> propisano razdoblje od prvih šest mjeseci u 2026. godini, a koje se uzima za izračun prosječnog mjesečnog prihoda kućanstva, odražava realniju sliku o ekonomskim i obiteljskim okolnostima u kojima prijavitelji žive jer obuhvaća recentnije financijske podatke u odnosu na prethodnu 2025. godinu,  </w:t>
            </w:r>
            <w:r>
              <w:rPr>
                <w:rFonts w:ascii="Times New Roman" w:hAnsi="Times New Roman" w:cs="Times New Roman"/>
                <w:szCs w:val="24"/>
                <w:lang w:eastAsia="hr-HR"/>
              </w:rPr>
              <w:t>pogotovo</w:t>
            </w:r>
            <w:r w:rsidRPr="00732CDD">
              <w:rPr>
                <w:rFonts w:ascii="Times New Roman" w:hAnsi="Times New Roman" w:cs="Times New Roman"/>
                <w:szCs w:val="24"/>
                <w:lang w:eastAsia="hr-HR"/>
              </w:rPr>
              <w:t xml:space="preserve"> kada se uzmu u obzir snažna inflatorna kretanja u  Republici Hrvatskoj i njihovi nepovoljni učinci na kućne proračune. Prijedlog podnositeljice da se, uz propisano šestomjesečno razdoblje, propiše iznimka da se izračun prosječnog mjesečnog prihoda po članu zajedničkog kućanstva izračunava prema prihodima ostvarenim</w:t>
            </w:r>
            <w:r w:rsidRPr="00732CDD">
              <w:rPr>
                <w:rFonts w:ascii="Times New Roman" w:hAnsi="Times New Roman" w:cs="Times New Roman"/>
                <w:i/>
                <w:iCs/>
                <w:szCs w:val="24"/>
                <w:lang w:eastAsia="hr-HR"/>
              </w:rPr>
              <w:t xml:space="preserve"> u prethodnoj kalendarskoj godini </w:t>
            </w:r>
            <w:r w:rsidRPr="00732CDD">
              <w:rPr>
                <w:rFonts w:ascii="Times New Roman" w:hAnsi="Times New Roman" w:cs="Times New Roman"/>
                <w:i/>
                <w:iCs/>
                <w:szCs w:val="24"/>
              </w:rPr>
              <w:t xml:space="preserve">za članove kućanstva koji ostvaruju dohodak od samostalne djelatnosti prema propisima o porezu na dohodak, a čiji se dohodak utvrđuje godišnje </w:t>
            </w:r>
            <w:r w:rsidRPr="00732CDD">
              <w:rPr>
                <w:rFonts w:ascii="Times New Roman" w:hAnsi="Times New Roman" w:cs="Times New Roman"/>
                <w:i/>
                <w:iCs/>
                <w:szCs w:val="24"/>
              </w:rPr>
              <w:lastRenderedPageBreak/>
              <w:t>(paušalno oporezivanje samostalnih djelatnosti, obrti i slobodna zanimanja s vođenjem poslovnih knjiga, nositelji obiteljskih poljoprivrednih gospodarstava u sustavu dohotka i drugi porezni obveznici s godišnjim utvrđivanjem dohotka)</w:t>
            </w:r>
            <w:r w:rsidRPr="00732CDD">
              <w:rPr>
                <w:rFonts w:ascii="Times New Roman" w:hAnsi="Times New Roman" w:cs="Times New Roman"/>
                <w:szCs w:val="24"/>
              </w:rPr>
              <w:t>, nije provediv u praksi. U kućanstvima u kojima je jedan roditelj npr. paušalni obrtnik, a drugi roditelj je obveznik poreza na dohodak od nesamostalnog rada bilo bi nemoguće utvrditi prosječni mjesečni prihod kućanstva jer se na roditelje ne bi primjenjivalo isto obračunsko razdoblje. Prijedlogom odluke propisano razdoblje od prvih šest mjeseci tekuće godine mjerodavno je razdoblje za vjerodostojno utvrđivanje iznosa prosječnog mjesečnog prihoda po članu zajedničkog kućanstva</w:t>
            </w:r>
            <w:r>
              <w:rPr>
                <w:rFonts w:ascii="Times New Roman" w:hAnsi="Times New Roman" w:cs="Times New Roman"/>
                <w:szCs w:val="24"/>
              </w:rPr>
              <w:t>,</w:t>
            </w:r>
            <w:r w:rsidRPr="00732CDD">
              <w:rPr>
                <w:rFonts w:ascii="Times New Roman" w:hAnsi="Times New Roman" w:cs="Times New Roman"/>
                <w:szCs w:val="24"/>
              </w:rPr>
              <w:t xml:space="preserve"> čime se ne priječi niti jednoj kategoriji poreznih obveznika da podnesu prijavu na natječaj ako njihova djeca ispunjavaju ostale propisane uvjete natječaja. </w:t>
            </w:r>
          </w:p>
          <w:p w14:paraId="223F48FA" w14:textId="1337FFE7" w:rsidR="00F617F1" w:rsidRPr="00732CDD" w:rsidRDefault="00F617F1" w:rsidP="00732CDD">
            <w:pPr>
              <w:widowControl w:val="0"/>
              <w:shd w:val="clear" w:color="auto" w:fill="FFFFFF"/>
              <w:suppressAutoHyphens/>
              <w:spacing w:after="0" w:line="240" w:lineRule="auto"/>
              <w:jc w:val="both"/>
              <w:rPr>
                <w:rFonts w:ascii="Times New Roman" w:eastAsia="Times New Roman" w:hAnsi="Times New Roman" w:cs="Times New Roman"/>
                <w:bCs/>
                <w:color w:val="FF0000"/>
                <w:lang w:eastAsia="hr-HR"/>
              </w:rPr>
            </w:pPr>
          </w:p>
        </w:tc>
      </w:tr>
    </w:tbl>
    <w:p w14:paraId="7BD04023" w14:textId="77777777" w:rsidR="00003038" w:rsidRPr="002203F2" w:rsidRDefault="00003038" w:rsidP="00DE2B31">
      <w:pPr>
        <w:ind w:left="-284" w:firstLine="284"/>
        <w:rPr>
          <w:rFonts w:ascii="Times New Roman" w:hAnsi="Times New Roman"/>
          <w:sz w:val="24"/>
          <w:szCs w:val="24"/>
        </w:rPr>
      </w:pPr>
    </w:p>
    <w:sectPr w:rsidR="00003038" w:rsidRPr="002203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D622A"/>
    <w:multiLevelType w:val="multilevel"/>
    <w:tmpl w:val="3D1A9E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DDE61DC"/>
    <w:multiLevelType w:val="hybridMultilevel"/>
    <w:tmpl w:val="5B8A1E38"/>
    <w:lvl w:ilvl="0" w:tplc="6B7ABFBE">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4AF96934"/>
    <w:multiLevelType w:val="hybridMultilevel"/>
    <w:tmpl w:val="5BBA6952"/>
    <w:lvl w:ilvl="0" w:tplc="C518A36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9F2"/>
    <w:rsid w:val="00003038"/>
    <w:rsid w:val="0001245D"/>
    <w:rsid w:val="0003683B"/>
    <w:rsid w:val="00036CB9"/>
    <w:rsid w:val="00061B7D"/>
    <w:rsid w:val="00073582"/>
    <w:rsid w:val="000A03FC"/>
    <w:rsid w:val="000D4278"/>
    <w:rsid w:val="000E0055"/>
    <w:rsid w:val="000F1AD1"/>
    <w:rsid w:val="00103148"/>
    <w:rsid w:val="001214F9"/>
    <w:rsid w:val="00127EAF"/>
    <w:rsid w:val="0019654A"/>
    <w:rsid w:val="001965DE"/>
    <w:rsid w:val="001A1A3E"/>
    <w:rsid w:val="001A45EB"/>
    <w:rsid w:val="001B2B82"/>
    <w:rsid w:val="001D6FD0"/>
    <w:rsid w:val="002120F5"/>
    <w:rsid w:val="002203F2"/>
    <w:rsid w:val="00244BC8"/>
    <w:rsid w:val="00250359"/>
    <w:rsid w:val="0026773C"/>
    <w:rsid w:val="00291A40"/>
    <w:rsid w:val="002953B2"/>
    <w:rsid w:val="002A7023"/>
    <w:rsid w:val="002E25BB"/>
    <w:rsid w:val="00306650"/>
    <w:rsid w:val="00320678"/>
    <w:rsid w:val="003339B1"/>
    <w:rsid w:val="00363A61"/>
    <w:rsid w:val="00393C95"/>
    <w:rsid w:val="00394D26"/>
    <w:rsid w:val="003A0582"/>
    <w:rsid w:val="003D6D2B"/>
    <w:rsid w:val="003E01F1"/>
    <w:rsid w:val="003E3D4E"/>
    <w:rsid w:val="004A0E90"/>
    <w:rsid w:val="004A6024"/>
    <w:rsid w:val="004C64FA"/>
    <w:rsid w:val="004E13A7"/>
    <w:rsid w:val="004F70EC"/>
    <w:rsid w:val="00520D7B"/>
    <w:rsid w:val="00540C42"/>
    <w:rsid w:val="00547B7F"/>
    <w:rsid w:val="00552ACE"/>
    <w:rsid w:val="005A0FD0"/>
    <w:rsid w:val="005A7498"/>
    <w:rsid w:val="005C3DF7"/>
    <w:rsid w:val="005D1254"/>
    <w:rsid w:val="005D7770"/>
    <w:rsid w:val="005F5D97"/>
    <w:rsid w:val="0061211F"/>
    <w:rsid w:val="00623AEC"/>
    <w:rsid w:val="006479D0"/>
    <w:rsid w:val="006617A1"/>
    <w:rsid w:val="00665FAB"/>
    <w:rsid w:val="006772BA"/>
    <w:rsid w:val="00677796"/>
    <w:rsid w:val="00694251"/>
    <w:rsid w:val="006A00BC"/>
    <w:rsid w:val="006B6012"/>
    <w:rsid w:val="006C162C"/>
    <w:rsid w:val="006E49F0"/>
    <w:rsid w:val="006F6494"/>
    <w:rsid w:val="00712678"/>
    <w:rsid w:val="00732CDD"/>
    <w:rsid w:val="007438EE"/>
    <w:rsid w:val="00743AF6"/>
    <w:rsid w:val="007C7D72"/>
    <w:rsid w:val="007D27CA"/>
    <w:rsid w:val="00857876"/>
    <w:rsid w:val="00873DF9"/>
    <w:rsid w:val="00876220"/>
    <w:rsid w:val="008A0AC7"/>
    <w:rsid w:val="008C0888"/>
    <w:rsid w:val="008D277F"/>
    <w:rsid w:val="008D494A"/>
    <w:rsid w:val="008D623A"/>
    <w:rsid w:val="008D6432"/>
    <w:rsid w:val="009270BA"/>
    <w:rsid w:val="00934B29"/>
    <w:rsid w:val="00943CFE"/>
    <w:rsid w:val="0094688F"/>
    <w:rsid w:val="0099064F"/>
    <w:rsid w:val="009D08BB"/>
    <w:rsid w:val="009E27F6"/>
    <w:rsid w:val="00A123CB"/>
    <w:rsid w:val="00A40457"/>
    <w:rsid w:val="00A7188C"/>
    <w:rsid w:val="00A9029C"/>
    <w:rsid w:val="00AD1B6A"/>
    <w:rsid w:val="00AF1CB2"/>
    <w:rsid w:val="00B509A4"/>
    <w:rsid w:val="00B52F67"/>
    <w:rsid w:val="00B62EF4"/>
    <w:rsid w:val="00BD2D38"/>
    <w:rsid w:val="00C11DC4"/>
    <w:rsid w:val="00C159F2"/>
    <w:rsid w:val="00C6116B"/>
    <w:rsid w:val="00C63AC2"/>
    <w:rsid w:val="00C83606"/>
    <w:rsid w:val="00C87EED"/>
    <w:rsid w:val="00CA5440"/>
    <w:rsid w:val="00CB37D7"/>
    <w:rsid w:val="00CD1CAD"/>
    <w:rsid w:val="00D001EF"/>
    <w:rsid w:val="00D475D4"/>
    <w:rsid w:val="00D66EF9"/>
    <w:rsid w:val="00D8458C"/>
    <w:rsid w:val="00DB0AB5"/>
    <w:rsid w:val="00DC2778"/>
    <w:rsid w:val="00DE2B31"/>
    <w:rsid w:val="00DF33E9"/>
    <w:rsid w:val="00E14675"/>
    <w:rsid w:val="00E35509"/>
    <w:rsid w:val="00E56455"/>
    <w:rsid w:val="00F050A7"/>
    <w:rsid w:val="00F16F28"/>
    <w:rsid w:val="00F514F3"/>
    <w:rsid w:val="00F617F1"/>
    <w:rsid w:val="00F966FD"/>
    <w:rsid w:val="00FA5C24"/>
    <w:rsid w:val="00FD29D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3A8B"/>
  <w15:docId w15:val="{44C206D8-FA44-48CA-B082-65DB0A47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EED"/>
    <w:pPr>
      <w:spacing w:after="160" w:line="259" w:lineRule="auto"/>
      <w:ind w:left="720"/>
      <w:contextualSpacing/>
    </w:pPr>
  </w:style>
  <w:style w:type="character" w:customStyle="1" w:styleId="apple-converted-space">
    <w:name w:val="apple-converted-space"/>
    <w:basedOn w:val="DefaultParagraphFont"/>
    <w:rsid w:val="00D8458C"/>
  </w:style>
  <w:style w:type="paragraph" w:styleId="BalloonText">
    <w:name w:val="Balloon Text"/>
    <w:basedOn w:val="Normal"/>
    <w:link w:val="BalloonTextChar"/>
    <w:uiPriority w:val="99"/>
    <w:semiHidden/>
    <w:unhideWhenUsed/>
    <w:rsid w:val="00103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148"/>
    <w:rPr>
      <w:rFonts w:ascii="Tahoma" w:hAnsi="Tahoma" w:cs="Tahoma"/>
      <w:sz w:val="16"/>
      <w:szCs w:val="16"/>
    </w:rPr>
  </w:style>
  <w:style w:type="paragraph" w:customStyle="1" w:styleId="t-98-2">
    <w:name w:val="t-98-2"/>
    <w:basedOn w:val="Normal"/>
    <w:rsid w:val="00C63AC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ormaltextrun">
    <w:name w:val="normaltextrun"/>
    <w:basedOn w:val="DefaultParagraphFont"/>
    <w:rsid w:val="00291A40"/>
  </w:style>
  <w:style w:type="character" w:customStyle="1" w:styleId="eop">
    <w:name w:val="eop"/>
    <w:basedOn w:val="DefaultParagraphFont"/>
    <w:rsid w:val="00291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22708">
      <w:bodyDiv w:val="1"/>
      <w:marLeft w:val="0"/>
      <w:marRight w:val="0"/>
      <w:marTop w:val="0"/>
      <w:marBottom w:val="0"/>
      <w:divBdr>
        <w:top w:val="none" w:sz="0" w:space="0" w:color="auto"/>
        <w:left w:val="none" w:sz="0" w:space="0" w:color="auto"/>
        <w:bottom w:val="none" w:sz="0" w:space="0" w:color="auto"/>
        <w:right w:val="none" w:sz="0" w:space="0" w:color="auto"/>
      </w:divBdr>
    </w:div>
    <w:div w:id="131170156">
      <w:bodyDiv w:val="1"/>
      <w:marLeft w:val="0"/>
      <w:marRight w:val="0"/>
      <w:marTop w:val="0"/>
      <w:marBottom w:val="0"/>
      <w:divBdr>
        <w:top w:val="none" w:sz="0" w:space="0" w:color="auto"/>
        <w:left w:val="none" w:sz="0" w:space="0" w:color="auto"/>
        <w:bottom w:val="none" w:sz="0" w:space="0" w:color="auto"/>
        <w:right w:val="none" w:sz="0" w:space="0" w:color="auto"/>
      </w:divBdr>
    </w:div>
    <w:div w:id="289634878">
      <w:bodyDiv w:val="1"/>
      <w:marLeft w:val="0"/>
      <w:marRight w:val="0"/>
      <w:marTop w:val="0"/>
      <w:marBottom w:val="0"/>
      <w:divBdr>
        <w:top w:val="none" w:sz="0" w:space="0" w:color="auto"/>
        <w:left w:val="none" w:sz="0" w:space="0" w:color="auto"/>
        <w:bottom w:val="none" w:sz="0" w:space="0" w:color="auto"/>
        <w:right w:val="none" w:sz="0" w:space="0" w:color="auto"/>
      </w:divBdr>
    </w:div>
    <w:div w:id="372928450">
      <w:bodyDiv w:val="1"/>
      <w:marLeft w:val="0"/>
      <w:marRight w:val="0"/>
      <w:marTop w:val="0"/>
      <w:marBottom w:val="0"/>
      <w:divBdr>
        <w:top w:val="none" w:sz="0" w:space="0" w:color="auto"/>
        <w:left w:val="none" w:sz="0" w:space="0" w:color="auto"/>
        <w:bottom w:val="none" w:sz="0" w:space="0" w:color="auto"/>
        <w:right w:val="none" w:sz="0" w:space="0" w:color="auto"/>
      </w:divBdr>
    </w:div>
    <w:div w:id="577523816">
      <w:bodyDiv w:val="1"/>
      <w:marLeft w:val="0"/>
      <w:marRight w:val="0"/>
      <w:marTop w:val="0"/>
      <w:marBottom w:val="0"/>
      <w:divBdr>
        <w:top w:val="none" w:sz="0" w:space="0" w:color="auto"/>
        <w:left w:val="none" w:sz="0" w:space="0" w:color="auto"/>
        <w:bottom w:val="none" w:sz="0" w:space="0" w:color="auto"/>
        <w:right w:val="none" w:sz="0" w:space="0" w:color="auto"/>
      </w:divBdr>
    </w:div>
    <w:div w:id="1145312481">
      <w:bodyDiv w:val="1"/>
      <w:marLeft w:val="0"/>
      <w:marRight w:val="0"/>
      <w:marTop w:val="0"/>
      <w:marBottom w:val="0"/>
      <w:divBdr>
        <w:top w:val="none" w:sz="0" w:space="0" w:color="auto"/>
        <w:left w:val="none" w:sz="0" w:space="0" w:color="auto"/>
        <w:bottom w:val="none" w:sz="0" w:space="0" w:color="auto"/>
        <w:right w:val="none" w:sz="0" w:space="0" w:color="auto"/>
      </w:divBdr>
    </w:div>
    <w:div w:id="1445880681">
      <w:bodyDiv w:val="1"/>
      <w:marLeft w:val="0"/>
      <w:marRight w:val="0"/>
      <w:marTop w:val="0"/>
      <w:marBottom w:val="0"/>
      <w:divBdr>
        <w:top w:val="none" w:sz="0" w:space="0" w:color="auto"/>
        <w:left w:val="none" w:sz="0" w:space="0" w:color="auto"/>
        <w:bottom w:val="none" w:sz="0" w:space="0" w:color="auto"/>
        <w:right w:val="none" w:sz="0" w:space="0" w:color="auto"/>
      </w:divBdr>
    </w:div>
    <w:div w:id="1811702098">
      <w:bodyDiv w:val="1"/>
      <w:marLeft w:val="0"/>
      <w:marRight w:val="0"/>
      <w:marTop w:val="0"/>
      <w:marBottom w:val="0"/>
      <w:divBdr>
        <w:top w:val="none" w:sz="0" w:space="0" w:color="auto"/>
        <w:left w:val="none" w:sz="0" w:space="0" w:color="auto"/>
        <w:bottom w:val="none" w:sz="0" w:space="0" w:color="auto"/>
        <w:right w:val="none" w:sz="0" w:space="0" w:color="auto"/>
      </w:divBdr>
    </w:div>
    <w:div w:id="1838567554">
      <w:bodyDiv w:val="1"/>
      <w:marLeft w:val="0"/>
      <w:marRight w:val="0"/>
      <w:marTop w:val="0"/>
      <w:marBottom w:val="0"/>
      <w:divBdr>
        <w:top w:val="none" w:sz="0" w:space="0" w:color="auto"/>
        <w:left w:val="none" w:sz="0" w:space="0" w:color="auto"/>
        <w:bottom w:val="none" w:sz="0" w:space="0" w:color="auto"/>
        <w:right w:val="none" w:sz="0" w:space="0" w:color="auto"/>
      </w:divBdr>
    </w:div>
    <w:div w:id="207211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1966</Words>
  <Characters>11211</Characters>
  <Application>Microsoft Office Word</Application>
  <DocSecurity>0</DocSecurity>
  <Lines>93</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13151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 Šoufek</dc:creator>
  <cp:lastModifiedBy>Valerija Patek</cp:lastModifiedBy>
  <cp:revision>12</cp:revision>
  <cp:lastPrinted>2016-06-06T08:41:00Z</cp:lastPrinted>
  <dcterms:created xsi:type="dcterms:W3CDTF">2026-08-12T07:57:00Z</dcterms:created>
  <dcterms:modified xsi:type="dcterms:W3CDTF">2026-08-24T08:53:00Z</dcterms:modified>
</cp:coreProperties>
</file>